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D32B7B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Unidad de Transparencia del Instituto Electoral</w:t>
      </w:r>
    </w:p>
    <w:p w:rsidR="00C06BA5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proofErr w:type="gramStart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y</w:t>
      </w:r>
      <w:proofErr w:type="gramEnd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 xml:space="preserve"> de Participación Ciudadana</w:t>
      </w:r>
    </w:p>
    <w:p w:rsidR="006A1BEB" w:rsidRPr="00D1409D" w:rsidRDefault="006A1BEB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16"/>
          <w:szCs w:val="16"/>
        </w:rPr>
      </w:pPr>
    </w:p>
    <w:p w:rsidR="00254B59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OFICIO No: UTIEPCBC</w:t>
      </w:r>
      <w:r w:rsidR="00784F2A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="00412261">
        <w:rPr>
          <w:rFonts w:ascii="Humanst521 BT" w:hAnsi="Humanst521 BT" w:cs="Tahoma"/>
          <w:b/>
          <w:bCs/>
          <w:sz w:val="24"/>
          <w:szCs w:val="24"/>
          <w:lang w:val="es-ES"/>
        </w:rPr>
        <w:t>9</w:t>
      </w:r>
      <w:r w:rsidR="00427120">
        <w:rPr>
          <w:rFonts w:ascii="Humanst521 BT" w:hAnsi="Humanst521 BT" w:cs="Tahoma"/>
          <w:b/>
          <w:bCs/>
          <w:sz w:val="24"/>
          <w:szCs w:val="24"/>
          <w:lang w:val="es-ES"/>
        </w:rPr>
        <w:t>9</w:t>
      </w:r>
      <w:r w:rsidR="001B4DE9">
        <w:rPr>
          <w:rFonts w:ascii="Humanst521 BT" w:hAnsi="Humanst521 BT" w:cs="Tahoma"/>
          <w:b/>
          <w:bCs/>
          <w:sz w:val="24"/>
          <w:szCs w:val="24"/>
          <w:lang w:val="es-ES"/>
        </w:rPr>
        <w:t>4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/201</w:t>
      </w:r>
      <w:r w:rsidR="007F0C4A">
        <w:rPr>
          <w:rFonts w:ascii="Humanst521 BT" w:hAnsi="Humanst521 BT" w:cs="Tahoma"/>
          <w:b/>
          <w:bCs/>
          <w:sz w:val="24"/>
          <w:szCs w:val="24"/>
          <w:lang w:val="es-ES"/>
        </w:rPr>
        <w:t>3</w:t>
      </w:r>
    </w:p>
    <w:p w:rsidR="006A1BEB" w:rsidRPr="00784F2A" w:rsidRDefault="006A1BEB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254B59" w:rsidRPr="00784F2A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Mexicali, Baja California, a </w:t>
      </w:r>
      <w:r w:rsidR="00427120">
        <w:rPr>
          <w:rFonts w:ascii="Humanst521 BT" w:hAnsi="Humanst521 BT" w:cs="Tahoma"/>
          <w:sz w:val="24"/>
          <w:szCs w:val="24"/>
          <w:lang w:val="es-ES"/>
        </w:rPr>
        <w:t>12</w:t>
      </w:r>
      <w:r w:rsidR="009C120C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C06BA5">
        <w:rPr>
          <w:rFonts w:ascii="Humanst521 BT" w:hAnsi="Humanst521 BT" w:cs="Tahoma"/>
          <w:sz w:val="24"/>
          <w:szCs w:val="24"/>
          <w:lang w:val="es-ES"/>
        </w:rPr>
        <w:t xml:space="preserve">de </w:t>
      </w:r>
      <w:r w:rsidR="00427120">
        <w:rPr>
          <w:rFonts w:ascii="Humanst521 BT" w:hAnsi="Humanst521 BT" w:cs="Tahoma"/>
          <w:sz w:val="24"/>
          <w:szCs w:val="24"/>
          <w:lang w:val="es-ES"/>
        </w:rPr>
        <w:t>noviem</w:t>
      </w:r>
      <w:r w:rsidR="00591A98">
        <w:rPr>
          <w:rFonts w:ascii="Humanst521 BT" w:hAnsi="Humanst521 BT" w:cs="Tahoma"/>
          <w:sz w:val="24"/>
          <w:szCs w:val="24"/>
          <w:lang w:val="es-ES"/>
        </w:rPr>
        <w:t>bre</w:t>
      </w:r>
      <w:r w:rsidR="00866745">
        <w:rPr>
          <w:rFonts w:ascii="Humanst521 BT" w:hAnsi="Humanst521 BT" w:cs="Tahoma"/>
          <w:sz w:val="24"/>
          <w:szCs w:val="24"/>
          <w:lang w:val="es-ES"/>
        </w:rPr>
        <w:t xml:space="preserve"> de </w:t>
      </w:r>
      <w:r w:rsidR="00FF1804">
        <w:rPr>
          <w:rFonts w:ascii="Humanst521 BT" w:hAnsi="Humanst521 BT" w:cs="Tahoma"/>
          <w:sz w:val="24"/>
          <w:szCs w:val="24"/>
          <w:lang w:val="es-ES"/>
        </w:rPr>
        <w:t>2013</w:t>
      </w:r>
      <w:r w:rsidR="00427120">
        <w:rPr>
          <w:rFonts w:ascii="Humanst521 BT" w:hAnsi="Humanst521 BT" w:cs="Tahoma"/>
          <w:sz w:val="24"/>
          <w:szCs w:val="24"/>
          <w:lang w:val="es-ES"/>
        </w:rPr>
        <w:t>.</w:t>
      </w:r>
    </w:p>
    <w:p w:rsidR="00254B59" w:rsidRPr="00C753C4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254B59" w:rsidRDefault="00254B59" w:rsidP="00406041">
      <w:pPr>
        <w:spacing w:after="0" w:line="240" w:lineRule="auto"/>
        <w:contextualSpacing/>
        <w:jc w:val="both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197E59" w:rsidRPr="00C753C4" w:rsidRDefault="00197E59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FC466C" w:rsidRPr="00C753C4" w:rsidRDefault="00FC466C" w:rsidP="00C753C4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427120">
        <w:rPr>
          <w:rFonts w:ascii="Humanst521 BT" w:hAnsi="Humanst521 BT"/>
          <w:sz w:val="24"/>
          <w:szCs w:val="24"/>
          <w:lang w:val="es-ES"/>
        </w:rPr>
        <w:t>0</w:t>
      </w:r>
      <w:r w:rsidR="001B4DE9">
        <w:rPr>
          <w:rFonts w:ascii="Humanst521 BT" w:hAnsi="Humanst521 BT"/>
          <w:sz w:val="24"/>
          <w:szCs w:val="24"/>
          <w:lang w:val="es-ES"/>
        </w:rPr>
        <w:t>8</w:t>
      </w:r>
      <w:r w:rsidR="00EB3E8B" w:rsidRPr="00C753C4">
        <w:rPr>
          <w:rFonts w:ascii="Humanst521 BT" w:hAnsi="Humanst521 BT"/>
          <w:sz w:val="24"/>
          <w:szCs w:val="24"/>
          <w:lang w:val="es-ES"/>
        </w:rPr>
        <w:t xml:space="preserve"> de </w:t>
      </w:r>
      <w:r w:rsidR="00427120">
        <w:rPr>
          <w:rFonts w:ascii="Humanst521 BT" w:hAnsi="Humanst521 BT"/>
          <w:sz w:val="24"/>
          <w:szCs w:val="24"/>
          <w:lang w:val="es-ES"/>
        </w:rPr>
        <w:t>noviem</w:t>
      </w:r>
      <w:r w:rsidR="00591A98">
        <w:rPr>
          <w:rFonts w:ascii="Humanst521 BT" w:hAnsi="Humanst521 BT"/>
          <w:sz w:val="24"/>
          <w:szCs w:val="24"/>
          <w:lang w:val="es-ES"/>
        </w:rPr>
        <w:t>bre</w:t>
      </w:r>
      <w:r w:rsidRPr="00C753C4">
        <w:rPr>
          <w:rFonts w:ascii="Humanst521 BT" w:hAnsi="Humanst521 BT"/>
          <w:sz w:val="24"/>
          <w:szCs w:val="24"/>
          <w:lang w:val="es-ES"/>
        </w:rPr>
        <w:t xml:space="preserve"> del año en curso, a la que correspondió el número de </w:t>
      </w:r>
      <w:r w:rsidR="00A1261F" w:rsidRPr="00C753C4">
        <w:rPr>
          <w:rFonts w:ascii="Humanst521 BT" w:hAnsi="Humanst521 BT"/>
          <w:b/>
          <w:bCs/>
          <w:sz w:val="24"/>
          <w:szCs w:val="24"/>
          <w:lang w:val="es-ES"/>
        </w:rPr>
        <w:t xml:space="preserve">folio </w:t>
      </w:r>
      <w:r w:rsidR="00597201" w:rsidRPr="00C753C4">
        <w:rPr>
          <w:rFonts w:ascii="Humanst521 BT" w:hAnsi="Humanst521 BT"/>
          <w:b/>
          <w:bCs/>
          <w:sz w:val="24"/>
          <w:szCs w:val="24"/>
          <w:lang w:val="es-ES"/>
        </w:rPr>
        <w:t>000</w:t>
      </w:r>
      <w:r w:rsidR="00591A98">
        <w:rPr>
          <w:rFonts w:ascii="Humanst521 BT" w:hAnsi="Humanst521 BT"/>
          <w:b/>
          <w:bCs/>
          <w:sz w:val="24"/>
          <w:szCs w:val="24"/>
          <w:lang w:val="es-ES"/>
        </w:rPr>
        <w:t>6</w:t>
      </w:r>
      <w:r w:rsidR="00427120">
        <w:rPr>
          <w:rFonts w:ascii="Humanst521 BT" w:hAnsi="Humanst521 BT"/>
          <w:b/>
          <w:bCs/>
          <w:sz w:val="24"/>
          <w:szCs w:val="24"/>
          <w:lang w:val="es-ES"/>
        </w:rPr>
        <w:t>5</w:t>
      </w:r>
      <w:r w:rsidR="001B4DE9">
        <w:rPr>
          <w:rFonts w:ascii="Humanst521 BT" w:hAnsi="Humanst521 BT"/>
          <w:b/>
          <w:bCs/>
          <w:sz w:val="24"/>
          <w:szCs w:val="24"/>
          <w:lang w:val="es-ES"/>
        </w:rPr>
        <w:t>9</w:t>
      </w:r>
      <w:r w:rsidR="00597201" w:rsidRPr="00C753C4">
        <w:rPr>
          <w:rFonts w:ascii="Humanst521 BT" w:hAnsi="Humanst521 BT"/>
          <w:sz w:val="24"/>
          <w:szCs w:val="24"/>
          <w:lang w:val="es-ES"/>
        </w:rPr>
        <w:t>,</w:t>
      </w:r>
      <w:r w:rsidR="00A1261F" w:rsidRPr="00C753C4">
        <w:rPr>
          <w:rFonts w:ascii="Humanst521 BT" w:hAnsi="Humanst521 BT"/>
          <w:sz w:val="24"/>
          <w:szCs w:val="24"/>
          <w:lang w:val="es-ES"/>
        </w:rPr>
        <w:t xml:space="preserve"> </w:t>
      </w:r>
      <w:r w:rsidRPr="00C753C4">
        <w:rPr>
          <w:rFonts w:ascii="Humanst521 BT" w:hAnsi="Humanst521 BT"/>
          <w:sz w:val="24"/>
          <w:szCs w:val="24"/>
          <w:lang w:val="es-ES"/>
        </w:rPr>
        <w:t>se le informa lo siguiente:</w:t>
      </w:r>
    </w:p>
    <w:p w:rsidR="00C753C4" w:rsidRPr="00C753C4" w:rsidRDefault="00C753C4" w:rsidP="001B4DE9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1B4DE9" w:rsidRPr="001B4DE9" w:rsidRDefault="001B4DE9" w:rsidP="001B4DE9">
      <w:pPr>
        <w:spacing w:after="0" w:line="240" w:lineRule="auto"/>
        <w:jc w:val="both"/>
        <w:rPr>
          <w:sz w:val="24"/>
          <w:szCs w:val="24"/>
        </w:rPr>
      </w:pPr>
      <w:r w:rsidRPr="001B4DE9">
        <w:rPr>
          <w:rFonts w:ascii="Humanst521 BT" w:hAnsi="Humanst521 BT"/>
          <w:sz w:val="24"/>
          <w:szCs w:val="24"/>
        </w:rPr>
        <w:t>En respuesta a la solicitud de info</w:t>
      </w:r>
      <w:r w:rsidR="00A27422">
        <w:rPr>
          <w:rFonts w:ascii="Humanst521 BT" w:hAnsi="Humanst521 BT"/>
          <w:sz w:val="24"/>
          <w:szCs w:val="24"/>
        </w:rPr>
        <w:t>rmación que usted ha enviado a ésta</w:t>
      </w:r>
      <w:r w:rsidRPr="001B4DE9">
        <w:rPr>
          <w:rFonts w:ascii="Humanst521 BT" w:hAnsi="Humanst521 BT"/>
          <w:sz w:val="24"/>
          <w:szCs w:val="24"/>
        </w:rPr>
        <w:t xml:space="preserve"> unidad de transparencia, le informamos que el Instituto Electoral y de Participación Ciudadana del Estado de Baja California no celebrará elecciones de ningún tipo en el año 2014</w:t>
      </w:r>
      <w:r w:rsidR="00427120">
        <w:rPr>
          <w:rFonts w:ascii="Humanst521 BT" w:hAnsi="Humanst521 BT"/>
          <w:sz w:val="24"/>
          <w:szCs w:val="24"/>
        </w:rPr>
        <w:t>, ya que el pasado 07 de julio se celebraron en el Estado elecciones de Gobernador, Munícipes y Diputados, por lo que las próximas elecciones</w:t>
      </w:r>
      <w:r w:rsidR="003D78E5">
        <w:rPr>
          <w:rFonts w:ascii="Humanst521 BT" w:hAnsi="Humanst521 BT"/>
          <w:sz w:val="24"/>
          <w:szCs w:val="24"/>
        </w:rPr>
        <w:t>, las cuales solo serán para Munícipes y Diputados, se llevaran a cabo</w:t>
      </w:r>
      <w:r w:rsidR="00427120">
        <w:rPr>
          <w:rFonts w:ascii="Humanst521 BT" w:hAnsi="Humanst521 BT"/>
          <w:sz w:val="24"/>
          <w:szCs w:val="24"/>
        </w:rPr>
        <w:t xml:space="preserve"> dentro de tres </w:t>
      </w:r>
      <w:proofErr w:type="gramStart"/>
      <w:r w:rsidR="00427120">
        <w:rPr>
          <w:rFonts w:ascii="Humanst521 BT" w:hAnsi="Humanst521 BT"/>
          <w:sz w:val="24"/>
          <w:szCs w:val="24"/>
        </w:rPr>
        <w:t>años</w:t>
      </w:r>
      <w:r w:rsidR="003D78E5">
        <w:rPr>
          <w:rFonts w:ascii="Humanst521 BT" w:hAnsi="Humanst521 BT"/>
          <w:sz w:val="24"/>
          <w:szCs w:val="24"/>
        </w:rPr>
        <w:t xml:space="preserve"> </w:t>
      </w:r>
      <w:r w:rsidR="00427120">
        <w:rPr>
          <w:rFonts w:ascii="Humanst521 BT" w:hAnsi="Humanst521 BT"/>
          <w:sz w:val="24"/>
          <w:szCs w:val="24"/>
        </w:rPr>
        <w:t>.</w:t>
      </w:r>
      <w:proofErr w:type="gramEnd"/>
    </w:p>
    <w:p w:rsidR="001B4DE9" w:rsidRDefault="001B4DE9" w:rsidP="001B4DE9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1B4DE9" w:rsidRPr="000A70A1" w:rsidRDefault="001B4DE9" w:rsidP="001B4DE9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0A70A1">
        <w:rPr>
          <w:rFonts w:ascii="Humanst521 BT" w:hAnsi="Humanst521 BT"/>
          <w:sz w:val="23"/>
          <w:szCs w:val="23"/>
          <w:lang w:val="es-ES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5" w:history="1">
        <w:r w:rsidRPr="000A70A1">
          <w:rPr>
            <w:rStyle w:val="Hipervnculo"/>
            <w:rFonts w:ascii="Humanst521 BT" w:hAnsi="Humanst521 BT"/>
            <w:sz w:val="23"/>
            <w:szCs w:val="23"/>
            <w:lang w:val="es-ES"/>
          </w:rPr>
          <w:t>http://itaipbc.org.mx/index.php/accesoalainformacionpublica/interponerrecursoderevision</w:t>
        </w:r>
      </w:hyperlink>
      <w:r w:rsidRPr="000A70A1">
        <w:rPr>
          <w:rFonts w:ascii="Humanst521 BT" w:hAnsi="Humanst521 BT"/>
          <w:sz w:val="23"/>
          <w:szCs w:val="23"/>
          <w:lang w:val="es-ES"/>
        </w:rPr>
        <w:t>.</w:t>
      </w:r>
    </w:p>
    <w:p w:rsidR="001B4DE9" w:rsidRDefault="001B4DE9" w:rsidP="001B4DE9">
      <w:pPr>
        <w:spacing w:after="0" w:line="240" w:lineRule="auto"/>
        <w:jc w:val="both"/>
      </w:pPr>
    </w:p>
    <w:p w:rsidR="00C753C4" w:rsidRPr="00C753C4" w:rsidRDefault="00C753C4" w:rsidP="001B4DE9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 xml:space="preserve">Sin otro asunto en particular, me despido de usted con un cordial saludo, agradeciendo de antemano el envío del </w:t>
      </w:r>
      <w:r w:rsidRPr="00C753C4">
        <w:rPr>
          <w:rFonts w:ascii="Humanst521 BT" w:hAnsi="Humanst521 BT"/>
          <w:b/>
          <w:bCs/>
          <w:sz w:val="24"/>
          <w:szCs w:val="24"/>
          <w:lang w:val="es-ES"/>
        </w:rPr>
        <w:t>acuse de recibo</w:t>
      </w:r>
      <w:r w:rsidRPr="00C753C4">
        <w:rPr>
          <w:rFonts w:ascii="Humanst521 BT" w:hAnsi="Humanst521 BT"/>
          <w:sz w:val="24"/>
          <w:szCs w:val="24"/>
          <w:lang w:val="es-ES"/>
        </w:rPr>
        <w:t xml:space="preserve"> respectivo.</w:t>
      </w:r>
    </w:p>
    <w:p w:rsidR="001B4DE9" w:rsidRDefault="001B4DE9" w:rsidP="00C753C4">
      <w:pPr>
        <w:jc w:val="center"/>
        <w:rPr>
          <w:rFonts w:ascii="Humanst521 BT" w:hAnsi="Humanst521 BT"/>
          <w:b/>
          <w:bCs/>
          <w:sz w:val="24"/>
          <w:szCs w:val="24"/>
          <w:lang w:val="es-ES"/>
        </w:rPr>
      </w:pPr>
    </w:p>
    <w:p w:rsidR="00C753C4" w:rsidRPr="00C753C4" w:rsidRDefault="00C753C4" w:rsidP="00C753C4">
      <w:pPr>
        <w:jc w:val="center"/>
        <w:rPr>
          <w:rFonts w:ascii="Humanst521 BT" w:hAnsi="Humanst521 BT"/>
          <w:b/>
          <w:bCs/>
          <w:sz w:val="24"/>
          <w:szCs w:val="24"/>
          <w:lang w:val="es-ES"/>
        </w:rPr>
      </w:pPr>
      <w:r w:rsidRPr="00C753C4">
        <w:rPr>
          <w:rFonts w:ascii="Humanst521 BT" w:hAnsi="Humanst521 BT"/>
          <w:b/>
          <w:bCs/>
          <w:sz w:val="24"/>
          <w:szCs w:val="24"/>
          <w:lang w:val="es-ES"/>
        </w:rPr>
        <w:t>A T E N T A M E N T E</w:t>
      </w:r>
    </w:p>
    <w:p w:rsidR="00C753C4" w:rsidRPr="00C753C4" w:rsidRDefault="00C753C4" w:rsidP="00C753C4">
      <w:pPr>
        <w:jc w:val="center"/>
        <w:rPr>
          <w:rFonts w:ascii="Humanst521 BT" w:hAnsi="Humanst521 BT"/>
          <w:sz w:val="24"/>
          <w:szCs w:val="24"/>
          <w:lang w:val="es-ES"/>
        </w:rPr>
      </w:pPr>
      <w:r w:rsidRPr="00C753C4">
        <w:rPr>
          <w:rFonts w:ascii="Humanst521 BT" w:hAnsi="Humanst521 BT"/>
          <w:sz w:val="24"/>
          <w:szCs w:val="24"/>
          <w:lang w:val="es-ES"/>
        </w:rPr>
        <w:t>“Por la Autonomía e Independencia</w:t>
      </w:r>
    </w:p>
    <w:p w:rsidR="00C753C4" w:rsidRDefault="00C753C4" w:rsidP="00C753C4">
      <w:pPr>
        <w:jc w:val="center"/>
        <w:rPr>
          <w:rFonts w:ascii="Humanst521 BT" w:hAnsi="Humanst521 BT"/>
          <w:sz w:val="24"/>
          <w:szCs w:val="24"/>
          <w:lang w:val="es-ES"/>
        </w:rPr>
      </w:pPr>
      <w:proofErr w:type="gramStart"/>
      <w:r w:rsidRPr="00C753C4">
        <w:rPr>
          <w:rFonts w:ascii="Humanst521 BT" w:hAnsi="Humanst521 BT"/>
          <w:sz w:val="24"/>
          <w:szCs w:val="24"/>
          <w:lang w:val="es-ES"/>
        </w:rPr>
        <w:t>de</w:t>
      </w:r>
      <w:proofErr w:type="gramEnd"/>
      <w:r w:rsidRPr="00C753C4">
        <w:rPr>
          <w:rFonts w:ascii="Humanst521 BT" w:hAnsi="Humanst521 BT"/>
          <w:sz w:val="24"/>
          <w:szCs w:val="24"/>
          <w:lang w:val="es-ES"/>
        </w:rPr>
        <w:t xml:space="preserve"> los Organismos Electorales”</w:t>
      </w:r>
    </w:p>
    <w:p w:rsidR="00266464" w:rsidRDefault="00266464" w:rsidP="00C753C4">
      <w:pPr>
        <w:jc w:val="center"/>
        <w:rPr>
          <w:rFonts w:ascii="Humanst521 BT" w:hAnsi="Humanst521 BT"/>
          <w:sz w:val="24"/>
          <w:szCs w:val="24"/>
          <w:lang w:val="es-ES"/>
        </w:rPr>
      </w:pPr>
    </w:p>
    <w:p w:rsidR="00266464" w:rsidRPr="00266464" w:rsidRDefault="00266464" w:rsidP="00266464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C753C4" w:rsidRDefault="00C753C4" w:rsidP="00C753C4">
      <w:pPr>
        <w:jc w:val="center"/>
        <w:rPr>
          <w:rFonts w:ascii="Humanst521 BT" w:hAnsi="Humanst521 BT"/>
          <w:lang w:val="es-ES"/>
        </w:rPr>
      </w:pPr>
      <w:r>
        <w:rPr>
          <w:rFonts w:ascii="Humanst521 BT" w:hAnsi="Humanst521 BT"/>
          <w:lang w:val="es-ES"/>
        </w:rPr>
        <w:t>LIC. JAVIER CASTRO CONKLEN</w:t>
      </w:r>
    </w:p>
    <w:p w:rsidR="005E5610" w:rsidRPr="00C753C4" w:rsidRDefault="00C753C4" w:rsidP="00C753C4">
      <w:pPr>
        <w:jc w:val="center"/>
        <w:rPr>
          <w:rFonts w:ascii="Calibri" w:hAnsi="Calibri"/>
          <w:color w:val="1F497D"/>
          <w:lang w:val="es-ES"/>
        </w:rPr>
      </w:pPr>
      <w:r>
        <w:rPr>
          <w:rFonts w:ascii="Humanst521 BT" w:hAnsi="Humanst521 BT"/>
          <w:b/>
          <w:bCs/>
          <w:lang w:val="es-ES"/>
        </w:rPr>
        <w:t>TITULAR DE LA UNIDAD DE TRANSPARENCIA</w:t>
      </w:r>
    </w:p>
    <w:sectPr w:rsidR="005E5610" w:rsidRPr="00C753C4" w:rsidSect="004F71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485D"/>
    <w:rsid w:val="000318C3"/>
    <w:rsid w:val="00034226"/>
    <w:rsid w:val="00047366"/>
    <w:rsid w:val="0005260F"/>
    <w:rsid w:val="000A31BF"/>
    <w:rsid w:val="000A4D2B"/>
    <w:rsid w:val="000B2AE9"/>
    <w:rsid w:val="000B2BC0"/>
    <w:rsid w:val="000B3FD8"/>
    <w:rsid w:val="000D08BA"/>
    <w:rsid w:val="000E4BA4"/>
    <w:rsid w:val="000F1D71"/>
    <w:rsid w:val="000F3AC4"/>
    <w:rsid w:val="001051D6"/>
    <w:rsid w:val="00110323"/>
    <w:rsid w:val="001256CE"/>
    <w:rsid w:val="00130295"/>
    <w:rsid w:val="0014438A"/>
    <w:rsid w:val="001644FE"/>
    <w:rsid w:val="0019477C"/>
    <w:rsid w:val="00197E59"/>
    <w:rsid w:val="001B1E0D"/>
    <w:rsid w:val="001B4DE9"/>
    <w:rsid w:val="001D0EEA"/>
    <w:rsid w:val="001F14C2"/>
    <w:rsid w:val="0020063D"/>
    <w:rsid w:val="00232F55"/>
    <w:rsid w:val="00236BD8"/>
    <w:rsid w:val="00251FC7"/>
    <w:rsid w:val="002544CF"/>
    <w:rsid w:val="00254B59"/>
    <w:rsid w:val="002566D7"/>
    <w:rsid w:val="00265FC2"/>
    <w:rsid w:val="00266464"/>
    <w:rsid w:val="00267315"/>
    <w:rsid w:val="0027090E"/>
    <w:rsid w:val="00284F59"/>
    <w:rsid w:val="00290A36"/>
    <w:rsid w:val="00295FEC"/>
    <w:rsid w:val="002B2070"/>
    <w:rsid w:val="002B515D"/>
    <w:rsid w:val="002C01D7"/>
    <w:rsid w:val="002C7899"/>
    <w:rsid w:val="002D14D9"/>
    <w:rsid w:val="002E1A80"/>
    <w:rsid w:val="003066D8"/>
    <w:rsid w:val="0033016E"/>
    <w:rsid w:val="00331037"/>
    <w:rsid w:val="0033477F"/>
    <w:rsid w:val="00361B3E"/>
    <w:rsid w:val="00380725"/>
    <w:rsid w:val="0038461D"/>
    <w:rsid w:val="003903A2"/>
    <w:rsid w:val="003D0DC5"/>
    <w:rsid w:val="003D78E5"/>
    <w:rsid w:val="00400F15"/>
    <w:rsid w:val="00401DCA"/>
    <w:rsid w:val="004046DC"/>
    <w:rsid w:val="00406041"/>
    <w:rsid w:val="00412261"/>
    <w:rsid w:val="0042675E"/>
    <w:rsid w:val="00427120"/>
    <w:rsid w:val="00447698"/>
    <w:rsid w:val="0044776B"/>
    <w:rsid w:val="004659C1"/>
    <w:rsid w:val="00482017"/>
    <w:rsid w:val="004969BB"/>
    <w:rsid w:val="004A7BD1"/>
    <w:rsid w:val="004B5035"/>
    <w:rsid w:val="004D734E"/>
    <w:rsid w:val="004E213A"/>
    <w:rsid w:val="004E7C34"/>
    <w:rsid w:val="004F23F5"/>
    <w:rsid w:val="004F27B9"/>
    <w:rsid w:val="0050090A"/>
    <w:rsid w:val="00523C92"/>
    <w:rsid w:val="00526097"/>
    <w:rsid w:val="00543EE1"/>
    <w:rsid w:val="005536C2"/>
    <w:rsid w:val="00571D79"/>
    <w:rsid w:val="005802F4"/>
    <w:rsid w:val="00591A0B"/>
    <w:rsid w:val="00591A98"/>
    <w:rsid w:val="00593295"/>
    <w:rsid w:val="00594184"/>
    <w:rsid w:val="005946FB"/>
    <w:rsid w:val="00597201"/>
    <w:rsid w:val="005A202A"/>
    <w:rsid w:val="005E5610"/>
    <w:rsid w:val="00603273"/>
    <w:rsid w:val="00603DC7"/>
    <w:rsid w:val="00610CCF"/>
    <w:rsid w:val="006259AF"/>
    <w:rsid w:val="00641114"/>
    <w:rsid w:val="00671E83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24615"/>
    <w:rsid w:val="00724E9D"/>
    <w:rsid w:val="007374CC"/>
    <w:rsid w:val="007674D1"/>
    <w:rsid w:val="00784F2A"/>
    <w:rsid w:val="0079008B"/>
    <w:rsid w:val="00797CB3"/>
    <w:rsid w:val="007A1BA3"/>
    <w:rsid w:val="007B18D6"/>
    <w:rsid w:val="007B450D"/>
    <w:rsid w:val="007D1432"/>
    <w:rsid w:val="007E6168"/>
    <w:rsid w:val="007F0C4A"/>
    <w:rsid w:val="008037BE"/>
    <w:rsid w:val="00816C46"/>
    <w:rsid w:val="0083005D"/>
    <w:rsid w:val="008311C2"/>
    <w:rsid w:val="00834614"/>
    <w:rsid w:val="00845720"/>
    <w:rsid w:val="00866745"/>
    <w:rsid w:val="008A29FD"/>
    <w:rsid w:val="0091445D"/>
    <w:rsid w:val="00935137"/>
    <w:rsid w:val="009428C8"/>
    <w:rsid w:val="00944746"/>
    <w:rsid w:val="00945C7F"/>
    <w:rsid w:val="00946F5C"/>
    <w:rsid w:val="00962998"/>
    <w:rsid w:val="0096426F"/>
    <w:rsid w:val="009717E1"/>
    <w:rsid w:val="00993901"/>
    <w:rsid w:val="009A00E8"/>
    <w:rsid w:val="009B44AA"/>
    <w:rsid w:val="009C120C"/>
    <w:rsid w:val="009C2DB7"/>
    <w:rsid w:val="009C3182"/>
    <w:rsid w:val="009D1C35"/>
    <w:rsid w:val="009D6505"/>
    <w:rsid w:val="009E3C08"/>
    <w:rsid w:val="009E6B1F"/>
    <w:rsid w:val="009E7464"/>
    <w:rsid w:val="00A07CDD"/>
    <w:rsid w:val="00A1261F"/>
    <w:rsid w:val="00A16B87"/>
    <w:rsid w:val="00A20E6C"/>
    <w:rsid w:val="00A22C4A"/>
    <w:rsid w:val="00A27422"/>
    <w:rsid w:val="00A367D2"/>
    <w:rsid w:val="00A55ED3"/>
    <w:rsid w:val="00A6633C"/>
    <w:rsid w:val="00A748D3"/>
    <w:rsid w:val="00A7516F"/>
    <w:rsid w:val="00A77D09"/>
    <w:rsid w:val="00A90DFC"/>
    <w:rsid w:val="00A974E2"/>
    <w:rsid w:val="00AA0FE2"/>
    <w:rsid w:val="00AB6F0C"/>
    <w:rsid w:val="00AC3911"/>
    <w:rsid w:val="00AD6F88"/>
    <w:rsid w:val="00B31F51"/>
    <w:rsid w:val="00B420E7"/>
    <w:rsid w:val="00B52054"/>
    <w:rsid w:val="00B76AE1"/>
    <w:rsid w:val="00B841B8"/>
    <w:rsid w:val="00BB0C6B"/>
    <w:rsid w:val="00BC1DAE"/>
    <w:rsid w:val="00BD3B43"/>
    <w:rsid w:val="00BE1758"/>
    <w:rsid w:val="00C006ED"/>
    <w:rsid w:val="00C04CC8"/>
    <w:rsid w:val="00C06907"/>
    <w:rsid w:val="00C06BA5"/>
    <w:rsid w:val="00C26BC9"/>
    <w:rsid w:val="00C27F1E"/>
    <w:rsid w:val="00C33CB0"/>
    <w:rsid w:val="00C50ADE"/>
    <w:rsid w:val="00C621D9"/>
    <w:rsid w:val="00C753C4"/>
    <w:rsid w:val="00C8441D"/>
    <w:rsid w:val="00C8496E"/>
    <w:rsid w:val="00C95354"/>
    <w:rsid w:val="00C95C62"/>
    <w:rsid w:val="00CB17E6"/>
    <w:rsid w:val="00CB275C"/>
    <w:rsid w:val="00CE1275"/>
    <w:rsid w:val="00CF2A92"/>
    <w:rsid w:val="00CF72AF"/>
    <w:rsid w:val="00D06504"/>
    <w:rsid w:val="00D1409D"/>
    <w:rsid w:val="00D14F4C"/>
    <w:rsid w:val="00D1666E"/>
    <w:rsid w:val="00D64099"/>
    <w:rsid w:val="00D741AA"/>
    <w:rsid w:val="00D75EF0"/>
    <w:rsid w:val="00D83F36"/>
    <w:rsid w:val="00DC43CC"/>
    <w:rsid w:val="00DE5C09"/>
    <w:rsid w:val="00E00E59"/>
    <w:rsid w:val="00E101AD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3A4D"/>
    <w:rsid w:val="00EB1FB2"/>
    <w:rsid w:val="00EB2F64"/>
    <w:rsid w:val="00EB2FE7"/>
    <w:rsid w:val="00EB3D74"/>
    <w:rsid w:val="00EB3E8B"/>
    <w:rsid w:val="00ED0B1A"/>
    <w:rsid w:val="00ED1AC5"/>
    <w:rsid w:val="00ED1F45"/>
    <w:rsid w:val="00ED6F9E"/>
    <w:rsid w:val="00EE51EA"/>
    <w:rsid w:val="00F12819"/>
    <w:rsid w:val="00F277E9"/>
    <w:rsid w:val="00F42398"/>
    <w:rsid w:val="00F47A93"/>
    <w:rsid w:val="00F5013A"/>
    <w:rsid w:val="00F651D1"/>
    <w:rsid w:val="00F724E1"/>
    <w:rsid w:val="00F9317C"/>
    <w:rsid w:val="00FA107F"/>
    <w:rsid w:val="00FA7072"/>
    <w:rsid w:val="00FC22F7"/>
    <w:rsid w:val="00FC466C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deglobo">
    <w:name w:val="Balloon Text"/>
    <w:basedOn w:val="Normal"/>
    <w:link w:val="TextodegloboCar"/>
    <w:uiPriority w:val="99"/>
    <w:semiHidden/>
    <w:unhideWhenUsed/>
    <w:rsid w:val="0084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720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accesoalainformacionpublica/interponerrecursode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42</cp:revision>
  <cp:lastPrinted>2013-10-21T19:57:00Z</cp:lastPrinted>
  <dcterms:created xsi:type="dcterms:W3CDTF">2013-01-29T03:28:00Z</dcterms:created>
  <dcterms:modified xsi:type="dcterms:W3CDTF">2013-12-24T19:22:00Z</dcterms:modified>
</cp:coreProperties>
</file>